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EA68" w14:textId="77777777" w:rsidR="00E20EAB" w:rsidRPr="00C86D0C" w:rsidRDefault="00E20EAB" w:rsidP="00E20EAB">
      <w:pPr>
        <w:spacing w:after="0" w:line="240" w:lineRule="auto"/>
        <w:jc w:val="center"/>
        <w:rPr>
          <w:rFonts w:eastAsia="Batang"/>
          <w:b/>
          <w:snapToGrid w:val="0"/>
          <w:lang w:bidi="en-US"/>
        </w:rPr>
      </w:pPr>
      <w:r w:rsidRPr="00C86D0C">
        <w:rPr>
          <w:rFonts w:eastAsia="Batang"/>
          <w:b/>
          <w:snapToGrid w:val="0"/>
          <w:lang w:bidi="en-US"/>
        </w:rPr>
        <w:t>MAINE COMMUNITY COLLEGE SYSTEM</w:t>
      </w:r>
    </w:p>
    <w:p w14:paraId="32F58BEC" w14:textId="77777777" w:rsidR="00E20EAB" w:rsidRPr="00C86D0C" w:rsidRDefault="00E20EAB" w:rsidP="00E20EAB">
      <w:pPr>
        <w:spacing w:after="0" w:line="240" w:lineRule="auto"/>
        <w:jc w:val="right"/>
        <w:rPr>
          <w:rFonts w:eastAsia="Batang"/>
          <w:b/>
          <w:snapToGrid w:val="0"/>
          <w:kern w:val="28"/>
          <w:lang w:bidi="en-US"/>
        </w:rPr>
      </w:pPr>
      <w:r w:rsidRPr="00C86D0C">
        <w:rPr>
          <w:rFonts w:eastAsia="Batang"/>
          <w:b/>
          <w:snapToGrid w:val="0"/>
          <w:kern w:val="28"/>
          <w:lang w:bidi="en-US"/>
        </w:rPr>
        <w:tab/>
      </w:r>
    </w:p>
    <w:p w14:paraId="1105A531" w14:textId="77777777" w:rsidR="00E20EAB" w:rsidRPr="00C86D0C" w:rsidRDefault="00E20EAB" w:rsidP="00E20EAB">
      <w:pPr>
        <w:spacing w:after="0" w:line="240" w:lineRule="auto"/>
        <w:jc w:val="right"/>
        <w:rPr>
          <w:rFonts w:eastAsia="Batang"/>
          <w:b/>
          <w:snapToGrid w:val="0"/>
          <w:kern w:val="28"/>
          <w:lang w:bidi="en-US"/>
        </w:rPr>
      </w:pPr>
      <w:r w:rsidRPr="00C86D0C">
        <w:rPr>
          <w:rFonts w:eastAsia="Batang"/>
          <w:b/>
          <w:snapToGrid w:val="0"/>
          <w:kern w:val="28"/>
          <w:lang w:bidi="en-US"/>
        </w:rPr>
        <w:t>FINANCIAL AFFAIRS</w:t>
      </w:r>
    </w:p>
    <w:p w14:paraId="209F1514" w14:textId="77777777" w:rsidR="00E20EAB" w:rsidRPr="00C86D0C" w:rsidRDefault="00E20EAB" w:rsidP="00E20EAB">
      <w:pPr>
        <w:keepNext/>
        <w:spacing w:after="0" w:line="240" w:lineRule="auto"/>
        <w:jc w:val="right"/>
        <w:rPr>
          <w:rFonts w:eastAsia="Batang"/>
          <w:b/>
          <w:snapToGrid w:val="0"/>
          <w:lang w:bidi="en-US"/>
        </w:rPr>
      </w:pPr>
      <w:r w:rsidRPr="00C86D0C">
        <w:rPr>
          <w:rFonts w:eastAsia="Batang"/>
          <w:b/>
          <w:snapToGrid w:val="0"/>
          <w:lang w:bidi="en-US"/>
        </w:rPr>
        <w:tab/>
        <w:t>Section 709</w:t>
      </w:r>
    </w:p>
    <w:p w14:paraId="11F876A9" w14:textId="77777777" w:rsidR="00E20EAB" w:rsidRPr="00C86D0C" w:rsidRDefault="00E20EAB" w:rsidP="00E20EAB">
      <w:pPr>
        <w:tabs>
          <w:tab w:val="right" w:pos="10181"/>
        </w:tabs>
        <w:spacing w:after="0" w:line="240" w:lineRule="auto"/>
        <w:jc w:val="right"/>
        <w:rPr>
          <w:rFonts w:eastAsia="Batang"/>
          <w:b/>
          <w:snapToGrid w:val="0"/>
          <w:lang w:bidi="en-US"/>
        </w:rPr>
      </w:pPr>
    </w:p>
    <w:p w14:paraId="03ECF56F" w14:textId="77777777" w:rsidR="00E20EAB" w:rsidRPr="00C86D0C" w:rsidRDefault="00E20EAB" w:rsidP="00E20EAB">
      <w:pPr>
        <w:tabs>
          <w:tab w:val="left" w:pos="576"/>
          <w:tab w:val="left" w:pos="1152"/>
          <w:tab w:val="left" w:pos="1728"/>
          <w:tab w:val="left" w:pos="2304"/>
          <w:tab w:val="left" w:pos="2880"/>
          <w:tab w:val="left" w:pos="3456"/>
          <w:tab w:val="left" w:pos="4032"/>
        </w:tabs>
        <w:spacing w:after="0" w:line="240" w:lineRule="auto"/>
        <w:jc w:val="both"/>
        <w:rPr>
          <w:rFonts w:eastAsia="Batang"/>
          <w:b/>
          <w:snapToGrid w:val="0"/>
          <w:lang w:bidi="en-US"/>
        </w:rPr>
      </w:pPr>
    </w:p>
    <w:p w14:paraId="3490541B" w14:textId="77777777" w:rsidR="00E20EAB" w:rsidRPr="00C86D0C" w:rsidRDefault="00E20EAB" w:rsidP="00E20EAB">
      <w:pPr>
        <w:keepNext/>
        <w:spacing w:after="0" w:line="240" w:lineRule="auto"/>
        <w:rPr>
          <w:rFonts w:eastAsia="Batang"/>
          <w:b/>
          <w:caps/>
          <w:snapToGrid w:val="0"/>
          <w:lang w:bidi="en-US"/>
        </w:rPr>
      </w:pPr>
      <w:r w:rsidRPr="00C86D0C">
        <w:rPr>
          <w:rFonts w:eastAsia="Batang"/>
          <w:b/>
          <w:caps/>
          <w:snapToGrid w:val="0"/>
          <w:lang w:bidi="en-US"/>
        </w:rPr>
        <w:t>Subject:</w:t>
      </w:r>
      <w:r w:rsidRPr="00C86D0C">
        <w:rPr>
          <w:rFonts w:eastAsia="Batang"/>
          <w:b/>
          <w:caps/>
          <w:snapToGrid w:val="0"/>
          <w:lang w:bidi="en-US"/>
        </w:rPr>
        <w:tab/>
        <w:t xml:space="preserve">Student DEBTS, student EMERGENCY LOANS AND student </w:t>
      </w:r>
      <w:r w:rsidRPr="00C86D0C">
        <w:rPr>
          <w:rFonts w:eastAsia="Batang"/>
          <w:b/>
          <w:caps/>
          <w:snapToGrid w:val="0"/>
          <w:lang w:bidi="en-US"/>
        </w:rPr>
        <w:tab/>
      </w:r>
      <w:r w:rsidRPr="00C86D0C">
        <w:rPr>
          <w:rFonts w:eastAsia="Batang"/>
          <w:b/>
          <w:caps/>
          <w:snapToGrid w:val="0"/>
          <w:lang w:bidi="en-US"/>
        </w:rPr>
        <w:tab/>
      </w:r>
      <w:r w:rsidRPr="00C86D0C">
        <w:rPr>
          <w:rFonts w:eastAsia="Batang"/>
          <w:b/>
          <w:caps/>
          <w:snapToGrid w:val="0"/>
          <w:lang w:bidi="en-US"/>
        </w:rPr>
        <w:tab/>
        <w:t>Activity Funds</w:t>
      </w:r>
    </w:p>
    <w:p w14:paraId="1FF74CCD" w14:textId="77777777" w:rsidR="00E20EAB" w:rsidRPr="00C86D0C" w:rsidRDefault="00E20EAB" w:rsidP="00E20EAB">
      <w:pPr>
        <w:pBdr>
          <w:top w:val="single" w:sz="12" w:space="1" w:color="auto"/>
          <w:bottom w:val="single" w:sz="12" w:space="1" w:color="auto"/>
        </w:pBdr>
        <w:tabs>
          <w:tab w:val="left" w:pos="576"/>
          <w:tab w:val="left" w:pos="1440"/>
          <w:tab w:val="left" w:pos="1728"/>
          <w:tab w:val="left" w:pos="2304"/>
          <w:tab w:val="left" w:pos="2880"/>
          <w:tab w:val="left" w:pos="3456"/>
          <w:tab w:val="left" w:pos="4032"/>
        </w:tabs>
        <w:spacing w:after="0" w:line="240" w:lineRule="auto"/>
        <w:ind w:left="1440" w:hanging="1440"/>
        <w:jc w:val="both"/>
        <w:rPr>
          <w:rFonts w:eastAsia="Batang"/>
          <w:b/>
          <w:snapToGrid w:val="0"/>
          <w:lang w:bidi="en-US"/>
        </w:rPr>
      </w:pPr>
      <w:r w:rsidRPr="00C86D0C">
        <w:rPr>
          <w:rFonts w:eastAsia="Batang"/>
          <w:b/>
          <w:snapToGrid w:val="0"/>
          <w:lang w:bidi="en-US"/>
        </w:rPr>
        <w:t>PURPOSE:   To establish a uniform policy for student debts, emergency loans and activity fund expenditures throughout the Maine Community College System</w:t>
      </w:r>
    </w:p>
    <w:p w14:paraId="6D4A28C4" w14:textId="1987793E" w:rsidR="00E20EAB" w:rsidRDefault="00E20EAB" w:rsidP="00E20EAB">
      <w:pP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7D42FC23" w14:textId="697A6569" w:rsidR="00CE7D3C" w:rsidRPr="00162119" w:rsidRDefault="00CE7D3C" w:rsidP="00CE7D3C">
      <w:pPr>
        <w:pStyle w:val="ListParagraph"/>
        <w:numPr>
          <w:ilvl w:val="0"/>
          <w:numId w:val="3"/>
        </w:numPr>
        <w:tabs>
          <w:tab w:val="left" w:pos="576"/>
          <w:tab w:val="left" w:pos="1152"/>
          <w:tab w:val="left" w:pos="1728"/>
          <w:tab w:val="left" w:pos="2304"/>
          <w:tab w:val="left" w:pos="2880"/>
          <w:tab w:val="left" w:pos="3456"/>
          <w:tab w:val="left" w:pos="4032"/>
        </w:tabs>
        <w:spacing w:after="0" w:line="240" w:lineRule="auto"/>
        <w:ind w:left="630" w:hanging="630"/>
        <w:jc w:val="both"/>
        <w:rPr>
          <w:rFonts w:eastAsia="Batang"/>
          <w:b/>
          <w:bCs/>
          <w:snapToGrid w:val="0"/>
          <w:lang w:bidi="en-US"/>
        </w:rPr>
      </w:pPr>
      <w:r w:rsidRPr="00162119">
        <w:rPr>
          <w:rFonts w:eastAsia="Batang"/>
          <w:b/>
          <w:bCs/>
          <w:snapToGrid w:val="0"/>
          <w:lang w:bidi="en-US"/>
        </w:rPr>
        <w:t xml:space="preserve">  Objective</w:t>
      </w:r>
    </w:p>
    <w:p w14:paraId="17915C7E" w14:textId="452F7BFC" w:rsidR="00CE7D3C" w:rsidRDefault="00CE7D3C" w:rsidP="00CE7D3C">
      <w:pP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72B9C143" w14:textId="732AE3C3" w:rsidR="00CE7D3C" w:rsidRDefault="00CE7D3C" w:rsidP="00162119">
      <w:pPr>
        <w:tabs>
          <w:tab w:val="left" w:pos="648"/>
          <w:tab w:val="left" w:pos="936"/>
          <w:tab w:val="left" w:pos="1281"/>
          <w:tab w:val="left" w:pos="3384"/>
        </w:tabs>
        <w:spacing w:after="0" w:line="240" w:lineRule="auto"/>
        <w:jc w:val="both"/>
        <w:rPr>
          <w:rFonts w:eastAsia="Times New Roman"/>
          <w:snapToGrid w:val="0"/>
          <w:lang w:bidi="en-US"/>
        </w:rPr>
      </w:pPr>
      <w:r w:rsidRPr="00CE7D3C">
        <w:rPr>
          <w:rFonts w:eastAsia="Times New Roman"/>
          <w:snapToGrid w:val="0"/>
          <w:lang w:bidi="en-US"/>
        </w:rPr>
        <w:t>The primary goals of the System are to create an educated, skilled and adaptable labor force that is responsive to the changing needs of the economy of the State and to promote local, regional and statewide economic development. </w:t>
      </w:r>
      <w:r>
        <w:rPr>
          <w:rFonts w:eastAsia="Times New Roman"/>
          <w:snapToGrid w:val="0"/>
          <w:lang w:bidi="en-US"/>
        </w:rPr>
        <w:t xml:space="preserve">To advance that mission the colleges must support student success in a fiscally responsible manner.  Providing emergency financial assistance, responsible collection of student charges and </w:t>
      </w:r>
      <w:r w:rsidRPr="00CE7D3C">
        <w:rPr>
          <w:rFonts w:eastAsia="Times New Roman"/>
          <w:snapToGrid w:val="0"/>
          <w:lang w:bidi="en-US"/>
        </w:rPr>
        <w:t>enhanc</w:t>
      </w:r>
      <w:r>
        <w:rPr>
          <w:rFonts w:eastAsia="Times New Roman"/>
          <w:snapToGrid w:val="0"/>
          <w:lang w:bidi="en-US"/>
        </w:rPr>
        <w:t>ing</w:t>
      </w:r>
      <w:r w:rsidRPr="00CE7D3C">
        <w:rPr>
          <w:rFonts w:eastAsia="Times New Roman"/>
          <w:snapToGrid w:val="0"/>
          <w:lang w:bidi="en-US"/>
        </w:rPr>
        <w:t xml:space="preserve"> the students’ educational experience extracurricular activities </w:t>
      </w:r>
      <w:r>
        <w:rPr>
          <w:rFonts w:eastAsia="Times New Roman"/>
          <w:snapToGrid w:val="0"/>
          <w:lang w:bidi="en-US"/>
        </w:rPr>
        <w:t>support the mission and goals of the Maine Community College System.</w:t>
      </w:r>
    </w:p>
    <w:p w14:paraId="49B43DD9" w14:textId="77777777" w:rsidR="00CE7D3C" w:rsidRPr="00162119" w:rsidRDefault="00CE7D3C" w:rsidP="00CE7D3C">
      <w:pP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6BAF5231" w14:textId="77777777" w:rsidR="00CE7D3C" w:rsidRDefault="00CE7D3C" w:rsidP="00CE7D3C">
      <w:pPr>
        <w:tabs>
          <w:tab w:val="left" w:pos="576"/>
          <w:tab w:val="left" w:pos="1152"/>
          <w:tab w:val="left" w:pos="1728"/>
          <w:tab w:val="left" w:pos="2304"/>
          <w:tab w:val="left" w:pos="2880"/>
          <w:tab w:val="left" w:pos="3456"/>
          <w:tab w:val="left" w:pos="4032"/>
        </w:tabs>
        <w:spacing w:after="0" w:line="240" w:lineRule="auto"/>
        <w:jc w:val="both"/>
        <w:rPr>
          <w:rFonts w:eastAsia="Batang"/>
          <w:b/>
          <w:snapToGrid w:val="0"/>
          <w:lang w:bidi="en-US"/>
        </w:rPr>
      </w:pPr>
    </w:p>
    <w:p w14:paraId="5CB36E32" w14:textId="608CC4C8" w:rsidR="00CE7D3C" w:rsidRPr="00C86D0C" w:rsidRDefault="00CE7D3C" w:rsidP="00CE7D3C">
      <w:pPr>
        <w:tabs>
          <w:tab w:val="left" w:pos="576"/>
          <w:tab w:val="left" w:pos="1152"/>
          <w:tab w:val="left" w:pos="1728"/>
          <w:tab w:val="left" w:pos="2304"/>
          <w:tab w:val="left" w:pos="2880"/>
          <w:tab w:val="left" w:pos="3456"/>
          <w:tab w:val="left" w:pos="4032"/>
        </w:tabs>
        <w:spacing w:after="0" w:line="240" w:lineRule="auto"/>
        <w:jc w:val="both"/>
        <w:rPr>
          <w:rFonts w:eastAsia="Batang"/>
          <w:b/>
          <w:snapToGrid w:val="0"/>
          <w:lang w:bidi="en-US"/>
        </w:rPr>
      </w:pPr>
      <w:r>
        <w:rPr>
          <w:rFonts w:eastAsia="Batang"/>
          <w:b/>
          <w:snapToGrid w:val="0"/>
          <w:lang w:bidi="en-US"/>
        </w:rPr>
        <w:t>B</w:t>
      </w:r>
      <w:r w:rsidRPr="00C86D0C">
        <w:rPr>
          <w:rFonts w:eastAsia="Batang"/>
          <w:b/>
          <w:snapToGrid w:val="0"/>
          <w:lang w:bidi="en-US"/>
        </w:rPr>
        <w:t>.</w:t>
      </w:r>
      <w:r w:rsidRPr="00C86D0C">
        <w:rPr>
          <w:rFonts w:eastAsia="Batang"/>
          <w:b/>
          <w:snapToGrid w:val="0"/>
          <w:lang w:bidi="en-US"/>
        </w:rPr>
        <w:tab/>
        <w:t>Student Emergency Loans</w:t>
      </w:r>
    </w:p>
    <w:p w14:paraId="6A974ADB" w14:textId="77777777" w:rsidR="00CE7D3C" w:rsidRPr="00C86D0C" w:rsidRDefault="00CE7D3C" w:rsidP="00CE7D3C">
      <w:pPr>
        <w:tabs>
          <w:tab w:val="left" w:pos="576"/>
          <w:tab w:val="left" w:pos="1152"/>
          <w:tab w:val="left" w:pos="1728"/>
          <w:tab w:val="left" w:pos="2304"/>
          <w:tab w:val="left" w:pos="2880"/>
          <w:tab w:val="left" w:pos="3456"/>
          <w:tab w:val="left" w:pos="4032"/>
        </w:tabs>
        <w:spacing w:after="0" w:line="240" w:lineRule="auto"/>
        <w:jc w:val="both"/>
        <w:rPr>
          <w:rFonts w:eastAsia="Batang"/>
          <w:snapToGrid w:val="0"/>
          <w:u w:val="single"/>
          <w:lang w:bidi="en-US"/>
        </w:rPr>
      </w:pPr>
    </w:p>
    <w:p w14:paraId="491F9377" w14:textId="77777777" w:rsidR="00CE7D3C" w:rsidRPr="00C86D0C" w:rsidRDefault="00CE7D3C" w:rsidP="00CE7D3C">
      <w:pPr>
        <w:tabs>
          <w:tab w:val="left" w:pos="648"/>
          <w:tab w:val="left" w:pos="936"/>
          <w:tab w:val="left" w:pos="1281"/>
          <w:tab w:val="left" w:pos="3384"/>
        </w:tabs>
        <w:spacing w:after="0" w:line="240" w:lineRule="auto"/>
        <w:jc w:val="both"/>
        <w:rPr>
          <w:rFonts w:eastAsia="Times New Roman"/>
          <w:snapToGrid w:val="0"/>
          <w:lang w:bidi="en-US"/>
        </w:rPr>
      </w:pPr>
      <w:r w:rsidRPr="00C86D0C">
        <w:rPr>
          <w:rFonts w:eastAsia="Times New Roman"/>
          <w:snapToGrid w:val="0"/>
          <w:lang w:bidi="en-US"/>
        </w:rPr>
        <w:t>Each college of the Maine Community College System may administer an emergency financial assistance fund through the student services office for eligible students with evidence of proven need.  Such loan program, established upon the approval of the college president, shall be managed under the supervision of the college president or designee.</w:t>
      </w:r>
    </w:p>
    <w:p w14:paraId="5B692940" w14:textId="77777777" w:rsidR="00CE7D3C" w:rsidRPr="00C86D0C" w:rsidRDefault="00CE7D3C" w:rsidP="00CE7D3C">
      <w:pPr>
        <w:tabs>
          <w:tab w:val="left" w:pos="648"/>
          <w:tab w:val="left" w:pos="936"/>
          <w:tab w:val="left" w:pos="1281"/>
          <w:tab w:val="left" w:pos="3384"/>
        </w:tabs>
        <w:spacing w:after="0" w:line="240" w:lineRule="auto"/>
        <w:jc w:val="both"/>
        <w:rPr>
          <w:rFonts w:eastAsia="Times New Roman"/>
          <w:snapToGrid w:val="0"/>
          <w:lang w:bidi="en-US"/>
        </w:rPr>
      </w:pPr>
    </w:p>
    <w:p w14:paraId="6C60611A" w14:textId="77777777" w:rsidR="00CE7D3C" w:rsidRPr="00C86D0C" w:rsidRDefault="00CE7D3C" w:rsidP="00CE7D3C">
      <w:pPr>
        <w:tabs>
          <w:tab w:val="left" w:pos="648"/>
          <w:tab w:val="left" w:pos="936"/>
          <w:tab w:val="left" w:pos="1281"/>
          <w:tab w:val="left" w:pos="3384"/>
        </w:tabs>
        <w:spacing w:after="0" w:line="240" w:lineRule="auto"/>
        <w:jc w:val="both"/>
        <w:rPr>
          <w:rFonts w:eastAsia="Times New Roman"/>
          <w:snapToGrid w:val="0"/>
          <w:lang w:bidi="en-US"/>
        </w:rPr>
      </w:pPr>
      <w:r w:rsidRPr="00C86D0C">
        <w:rPr>
          <w:rFonts w:eastAsia="Times New Roman"/>
          <w:snapToGrid w:val="0"/>
          <w:lang w:bidi="en-US"/>
        </w:rPr>
        <w:t>Each emergency loan fund shall have written procedures governing the administration of the fund that shall include the application process; criteria for eligibility; approval process; promissory agreement detailing the loan amount, penalties, fees and/or interest rate, if applicable, and terms of repayment; and the default process.</w:t>
      </w:r>
    </w:p>
    <w:p w14:paraId="3D60C25C" w14:textId="77777777" w:rsidR="00CE7D3C" w:rsidRDefault="00CE7D3C" w:rsidP="00E20EAB">
      <w:pPr>
        <w:tabs>
          <w:tab w:val="left" w:pos="576"/>
          <w:tab w:val="left" w:pos="1152"/>
          <w:tab w:val="left" w:pos="1728"/>
          <w:tab w:val="left" w:pos="2304"/>
          <w:tab w:val="left" w:pos="2880"/>
          <w:tab w:val="left" w:pos="3456"/>
          <w:tab w:val="left" w:pos="4032"/>
        </w:tabs>
        <w:spacing w:after="0" w:line="240" w:lineRule="auto"/>
        <w:jc w:val="both"/>
        <w:rPr>
          <w:rFonts w:eastAsia="Batang"/>
          <w:b/>
          <w:snapToGrid w:val="0"/>
          <w:lang w:bidi="en-US"/>
        </w:rPr>
      </w:pPr>
    </w:p>
    <w:p w14:paraId="510ACE4E" w14:textId="13661F13" w:rsidR="00E20EAB" w:rsidRPr="00C86D0C" w:rsidRDefault="00CE7D3C" w:rsidP="00E20EAB">
      <w:pPr>
        <w:tabs>
          <w:tab w:val="left" w:pos="576"/>
          <w:tab w:val="left" w:pos="1152"/>
          <w:tab w:val="left" w:pos="1728"/>
          <w:tab w:val="left" w:pos="2304"/>
          <w:tab w:val="left" w:pos="2880"/>
          <w:tab w:val="left" w:pos="3456"/>
          <w:tab w:val="left" w:pos="4032"/>
        </w:tabs>
        <w:spacing w:after="0" w:line="240" w:lineRule="auto"/>
        <w:jc w:val="both"/>
        <w:rPr>
          <w:rFonts w:eastAsia="Batang"/>
          <w:b/>
          <w:snapToGrid w:val="0"/>
          <w:lang w:bidi="en-US"/>
        </w:rPr>
      </w:pPr>
      <w:r>
        <w:rPr>
          <w:rFonts w:eastAsia="Batang"/>
          <w:b/>
          <w:snapToGrid w:val="0"/>
          <w:lang w:bidi="en-US"/>
        </w:rPr>
        <w:t>C</w:t>
      </w:r>
      <w:r w:rsidR="00E20EAB" w:rsidRPr="00C86D0C">
        <w:rPr>
          <w:rFonts w:eastAsia="Batang"/>
          <w:b/>
          <w:snapToGrid w:val="0"/>
          <w:lang w:bidi="en-US"/>
        </w:rPr>
        <w:t>.</w:t>
      </w:r>
      <w:r w:rsidR="00E20EAB" w:rsidRPr="00C86D0C">
        <w:rPr>
          <w:rFonts w:eastAsia="Batang"/>
          <w:b/>
          <w:snapToGrid w:val="0"/>
          <w:lang w:bidi="en-US"/>
        </w:rPr>
        <w:tab/>
        <w:t>Student Debts</w:t>
      </w:r>
    </w:p>
    <w:p w14:paraId="26995DC7" w14:textId="77777777" w:rsidR="00E20EAB" w:rsidRPr="00C86D0C" w:rsidRDefault="00E20EAB" w:rsidP="00E20EAB">
      <w:pP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64AF7428" w14:textId="77777777"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b/>
          <w:snapToGrid w:val="0"/>
          <w:lang w:bidi="en-US"/>
        </w:rPr>
      </w:pPr>
      <w:r w:rsidRPr="00C86D0C">
        <w:rPr>
          <w:rFonts w:eastAsia="Times New Roman"/>
          <w:b/>
          <w:snapToGrid w:val="0"/>
          <w:lang w:bidi="en-US"/>
        </w:rPr>
        <w:t>1.</w:t>
      </w:r>
      <w:r w:rsidRPr="00C86D0C">
        <w:rPr>
          <w:rFonts w:eastAsia="Times New Roman"/>
          <w:b/>
          <w:snapToGrid w:val="0"/>
          <w:lang w:bidi="en-US"/>
        </w:rPr>
        <w:tab/>
      </w:r>
      <w:r w:rsidRPr="00C86D0C">
        <w:rPr>
          <w:rFonts w:eastAsia="Times New Roman"/>
          <w:b/>
          <w:snapToGrid w:val="0"/>
          <w:lang w:bidi="en-US"/>
        </w:rPr>
        <w:tab/>
        <w:t>Policy</w:t>
      </w:r>
    </w:p>
    <w:p w14:paraId="5A1FD1D2" w14:textId="77777777" w:rsidR="00CE7D3C" w:rsidRPr="00CE7D3C" w:rsidRDefault="00CE7D3C" w:rsidP="00162119">
      <w:pPr>
        <w:tabs>
          <w:tab w:val="left" w:pos="648"/>
          <w:tab w:val="left" w:pos="936"/>
          <w:tab w:val="left" w:pos="1281"/>
          <w:tab w:val="left" w:pos="3384"/>
        </w:tabs>
        <w:spacing w:after="0" w:line="240" w:lineRule="auto"/>
        <w:jc w:val="both"/>
        <w:rPr>
          <w:rFonts w:eastAsia="Times New Roman"/>
          <w:snapToGrid w:val="0"/>
          <w:lang w:bidi="en-US"/>
        </w:rPr>
      </w:pPr>
    </w:p>
    <w:p w14:paraId="61DC3DFD" w14:textId="622EE64D" w:rsidR="00E20EAB" w:rsidRPr="00C86D0C" w:rsidRDefault="0092276D" w:rsidP="00E20EAB">
      <w:pPr>
        <w:tabs>
          <w:tab w:val="left" w:pos="648"/>
          <w:tab w:val="left" w:pos="936"/>
          <w:tab w:val="left" w:pos="1281"/>
          <w:tab w:val="left" w:pos="3384"/>
        </w:tabs>
        <w:spacing w:after="0" w:line="240" w:lineRule="auto"/>
        <w:ind w:left="648"/>
        <w:jc w:val="both"/>
        <w:rPr>
          <w:rFonts w:eastAsia="Times New Roman"/>
          <w:snapToGrid w:val="0"/>
          <w:lang w:bidi="en-US"/>
        </w:rPr>
      </w:pPr>
      <w:r>
        <w:rPr>
          <w:rFonts w:eastAsia="Times New Roman"/>
          <w:snapToGrid w:val="0"/>
          <w:lang w:bidi="en-US"/>
        </w:rPr>
        <w:t xml:space="preserve">It is the policy of the Maine Community College System to release all official credentials, including grade reports, transcripts, </w:t>
      </w:r>
      <w:proofErr w:type="gramStart"/>
      <w:r>
        <w:rPr>
          <w:rFonts w:eastAsia="Times New Roman"/>
          <w:snapToGrid w:val="0"/>
          <w:lang w:bidi="en-US"/>
        </w:rPr>
        <w:t>diplomas</w:t>
      </w:r>
      <w:proofErr w:type="gramEnd"/>
      <w:r>
        <w:rPr>
          <w:rFonts w:eastAsia="Times New Roman"/>
          <w:snapToGrid w:val="0"/>
          <w:lang w:bidi="en-US"/>
        </w:rPr>
        <w:t xml:space="preserve"> and recommendations</w:t>
      </w:r>
      <w:r w:rsidR="004413DF">
        <w:rPr>
          <w:rFonts w:eastAsia="Times New Roman"/>
          <w:snapToGrid w:val="0"/>
          <w:lang w:bidi="en-US"/>
        </w:rPr>
        <w:t xml:space="preserve"> in accordance with applicable federal and state laws and regulations</w:t>
      </w:r>
      <w:r w:rsidR="00947F0E">
        <w:rPr>
          <w:rFonts w:eastAsia="Times New Roman"/>
          <w:snapToGrid w:val="0"/>
          <w:lang w:bidi="en-US"/>
        </w:rPr>
        <w:t>.</w:t>
      </w:r>
      <w:r w:rsidR="00E20EAB" w:rsidRPr="00C86D0C">
        <w:rPr>
          <w:rFonts w:eastAsia="Times New Roman"/>
          <w:snapToGrid w:val="0"/>
          <w:lang w:bidi="en-US"/>
        </w:rPr>
        <w:t xml:space="preserve">  Students who have delinquent accounts can be assessed late fees and not be allowed to register for classes until all financial obligations are met.  The System further reserves the right to cancel a student's registration and disenroll a student for non-payment of current semester charges or other financial obligations past due.  Students can have their delinquent accounts referred to Maine Revenue Services for taxation refund withholding, and/or to an agency for collection.  All </w:t>
      </w:r>
      <w:r w:rsidR="00E20EAB" w:rsidRPr="00C86D0C">
        <w:rPr>
          <w:rFonts w:eastAsia="Times New Roman"/>
          <w:snapToGrid w:val="0"/>
          <w:lang w:bidi="en-US"/>
        </w:rPr>
        <w:lastRenderedPageBreak/>
        <w:t>college costs associated with such actions and fees, including attorneys’ fees, may also be assessed to the student.</w:t>
      </w:r>
    </w:p>
    <w:p w14:paraId="594302A1" w14:textId="77777777"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snapToGrid w:val="0"/>
          <w:lang w:bidi="en-US"/>
        </w:rPr>
      </w:pPr>
    </w:p>
    <w:p w14:paraId="7AC8ADA8" w14:textId="77777777" w:rsidR="00E20EAB" w:rsidRDefault="00E20EAB" w:rsidP="00E20EAB">
      <w:pPr>
        <w:tabs>
          <w:tab w:val="left" w:pos="648"/>
          <w:tab w:val="left" w:pos="936"/>
          <w:tab w:val="left" w:pos="1281"/>
          <w:tab w:val="left" w:pos="3384"/>
        </w:tabs>
        <w:spacing w:after="0" w:line="240" w:lineRule="auto"/>
        <w:ind w:left="648"/>
        <w:jc w:val="both"/>
        <w:rPr>
          <w:rFonts w:eastAsia="Times New Roman"/>
          <w:snapToGrid w:val="0"/>
          <w:lang w:bidi="en-US"/>
        </w:rPr>
      </w:pPr>
      <w:r w:rsidRPr="00C86D0C">
        <w:rPr>
          <w:rFonts w:eastAsia="Times New Roman"/>
          <w:snapToGrid w:val="0"/>
          <w:lang w:bidi="en-US"/>
        </w:rPr>
        <w:t xml:space="preserve">A debt to one community college is construed as a debt to the System.  Accordingly, a person who owes a debt to one community college may be prevented from enrolling at another community college until that debt is addressed to the satisfaction of the college to whom the debt is owed. </w:t>
      </w:r>
      <w:r>
        <w:rPr>
          <w:rFonts w:eastAsia="Times New Roman"/>
          <w:snapToGrid w:val="0"/>
          <w:lang w:bidi="en-US"/>
        </w:rPr>
        <w:t xml:space="preserve"> </w:t>
      </w:r>
    </w:p>
    <w:p w14:paraId="7FBAF7B2" w14:textId="77777777" w:rsidR="00E20EAB" w:rsidRDefault="00E20EAB" w:rsidP="00E20EAB">
      <w:pPr>
        <w:tabs>
          <w:tab w:val="left" w:pos="648"/>
          <w:tab w:val="left" w:pos="936"/>
          <w:tab w:val="left" w:pos="1281"/>
          <w:tab w:val="left" w:pos="3384"/>
        </w:tabs>
        <w:spacing w:after="0" w:line="240" w:lineRule="auto"/>
        <w:ind w:left="648"/>
        <w:jc w:val="both"/>
        <w:rPr>
          <w:rFonts w:eastAsia="Times New Roman"/>
          <w:snapToGrid w:val="0"/>
          <w:lang w:bidi="en-US"/>
        </w:rPr>
      </w:pPr>
    </w:p>
    <w:p w14:paraId="42BD56A2" w14:textId="10D27E4F"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snapToGrid w:val="0"/>
          <w:lang w:bidi="en-US"/>
        </w:rPr>
      </w:pPr>
      <w:r>
        <w:rPr>
          <w:rFonts w:eastAsia="Times New Roman"/>
          <w:snapToGrid w:val="0"/>
          <w:lang w:bidi="en-US"/>
        </w:rPr>
        <w:t xml:space="preserve">In furtherance of this policy, colleges may adopt procedures that address institutional and student challenges presented by outstanding balances. </w:t>
      </w:r>
    </w:p>
    <w:p w14:paraId="74B15F23" w14:textId="77777777"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snapToGrid w:val="0"/>
          <w:lang w:bidi="en-US"/>
        </w:rPr>
      </w:pPr>
    </w:p>
    <w:p w14:paraId="539BBD32" w14:textId="77777777"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b/>
          <w:snapToGrid w:val="0"/>
          <w:lang w:bidi="en-US"/>
        </w:rPr>
      </w:pPr>
      <w:r w:rsidRPr="00C86D0C">
        <w:rPr>
          <w:rFonts w:eastAsia="Times New Roman"/>
          <w:b/>
          <w:snapToGrid w:val="0"/>
          <w:lang w:bidi="en-US"/>
        </w:rPr>
        <w:t>2.</w:t>
      </w:r>
      <w:r w:rsidRPr="00C86D0C">
        <w:rPr>
          <w:rFonts w:eastAsia="Times New Roman"/>
          <w:b/>
          <w:snapToGrid w:val="0"/>
          <w:lang w:bidi="en-US"/>
        </w:rPr>
        <w:tab/>
      </w:r>
      <w:r w:rsidRPr="00C86D0C">
        <w:rPr>
          <w:rFonts w:eastAsia="Times New Roman"/>
          <w:b/>
          <w:snapToGrid w:val="0"/>
          <w:lang w:bidi="en-US"/>
        </w:rPr>
        <w:tab/>
        <w:t>Publication</w:t>
      </w:r>
    </w:p>
    <w:p w14:paraId="18B60E31" w14:textId="77777777"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snapToGrid w:val="0"/>
          <w:lang w:bidi="en-US"/>
        </w:rPr>
      </w:pPr>
    </w:p>
    <w:p w14:paraId="1B4B3E47" w14:textId="77777777"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snapToGrid w:val="0"/>
          <w:lang w:bidi="en-US"/>
        </w:rPr>
      </w:pPr>
      <w:r w:rsidRPr="00C86D0C">
        <w:rPr>
          <w:rFonts w:eastAsia="Times New Roman"/>
          <w:snapToGrid w:val="0"/>
          <w:lang w:bidi="en-US"/>
        </w:rPr>
        <w:t>Section A of this policy shall be published in each college catalog and/or other materials available to students.</w:t>
      </w:r>
    </w:p>
    <w:p w14:paraId="30A0E06B" w14:textId="77777777"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snapToGrid w:val="0"/>
          <w:lang w:bidi="en-US"/>
        </w:rPr>
      </w:pPr>
    </w:p>
    <w:p w14:paraId="26CE2C4F" w14:textId="77777777"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b/>
          <w:snapToGrid w:val="0"/>
          <w:lang w:bidi="en-US"/>
        </w:rPr>
      </w:pPr>
      <w:r w:rsidRPr="00C86D0C">
        <w:rPr>
          <w:rFonts w:eastAsia="Times New Roman"/>
          <w:b/>
          <w:snapToGrid w:val="0"/>
          <w:lang w:bidi="en-US"/>
        </w:rPr>
        <w:t>3.</w:t>
      </w:r>
      <w:r w:rsidRPr="00C86D0C">
        <w:rPr>
          <w:rFonts w:eastAsia="Times New Roman"/>
          <w:b/>
          <w:snapToGrid w:val="0"/>
          <w:lang w:bidi="en-US"/>
        </w:rPr>
        <w:tab/>
      </w:r>
      <w:r w:rsidRPr="00C86D0C">
        <w:rPr>
          <w:rFonts w:eastAsia="Times New Roman"/>
          <w:b/>
          <w:snapToGrid w:val="0"/>
          <w:lang w:bidi="en-US"/>
        </w:rPr>
        <w:tab/>
        <w:t>College Policies, Invoices and Payment Plans</w:t>
      </w:r>
    </w:p>
    <w:p w14:paraId="4E869875" w14:textId="77777777"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snapToGrid w:val="0"/>
          <w:lang w:bidi="en-US"/>
        </w:rPr>
      </w:pPr>
    </w:p>
    <w:p w14:paraId="1C939E77" w14:textId="77777777"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snapToGrid w:val="0"/>
          <w:lang w:bidi="en-US"/>
        </w:rPr>
      </w:pPr>
      <w:r w:rsidRPr="00C86D0C">
        <w:rPr>
          <w:rFonts w:eastAsia="Times New Roman"/>
          <w:snapToGrid w:val="0"/>
          <w:lang w:bidi="en-US"/>
        </w:rPr>
        <w:t>Each college shall have its own policies and procedures related to student billing, and such polices shall comply with this policy.  Each college shall invoice a student at least twice before placing their account into delinquency.  At the discretion of a college, a student may be allowed to enter a payment plan agreement.  Any such agreement shall be in writing, include the total amount owed and a schedule of payments not to exceed the length of the term, and be signed by the student.  A student who fails to respond to the above notices, misses or is otherwise late with a scheduled payment may be subject to disenrollment.</w:t>
      </w:r>
    </w:p>
    <w:p w14:paraId="66330C87" w14:textId="77777777"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b/>
          <w:snapToGrid w:val="0"/>
          <w:lang w:bidi="en-US"/>
        </w:rPr>
      </w:pPr>
    </w:p>
    <w:p w14:paraId="4F7473F4" w14:textId="77777777"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b/>
          <w:snapToGrid w:val="0"/>
          <w:lang w:bidi="en-US"/>
        </w:rPr>
      </w:pPr>
      <w:r w:rsidRPr="00C86D0C">
        <w:rPr>
          <w:rFonts w:eastAsia="Times New Roman"/>
          <w:b/>
          <w:snapToGrid w:val="0"/>
          <w:lang w:bidi="en-US"/>
        </w:rPr>
        <w:t>4.</w:t>
      </w:r>
      <w:r w:rsidRPr="00C86D0C">
        <w:rPr>
          <w:rFonts w:eastAsia="Times New Roman"/>
          <w:b/>
          <w:snapToGrid w:val="0"/>
          <w:lang w:bidi="en-US"/>
        </w:rPr>
        <w:tab/>
      </w:r>
      <w:r w:rsidRPr="00C86D0C">
        <w:rPr>
          <w:rFonts w:eastAsia="Times New Roman"/>
          <w:b/>
          <w:snapToGrid w:val="0"/>
          <w:lang w:bidi="en-US"/>
        </w:rPr>
        <w:tab/>
        <w:t>Bankruptcy</w:t>
      </w:r>
    </w:p>
    <w:p w14:paraId="41913A79" w14:textId="77777777"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snapToGrid w:val="0"/>
          <w:lang w:bidi="en-US"/>
        </w:rPr>
      </w:pPr>
    </w:p>
    <w:p w14:paraId="7B7CFDD5" w14:textId="77777777"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snapToGrid w:val="0"/>
          <w:lang w:bidi="en-US"/>
        </w:rPr>
      </w:pPr>
      <w:r w:rsidRPr="00C86D0C">
        <w:rPr>
          <w:rFonts w:eastAsia="Times New Roman"/>
          <w:snapToGrid w:val="0"/>
          <w:lang w:bidi="en-US"/>
        </w:rPr>
        <w:t xml:space="preserve">The MCCS recognizes that, generally speaking, the following conditions and/or protections apply when a student who owes a debt to the MCCS files for bankruptcy (“student debtor”): </w:t>
      </w:r>
    </w:p>
    <w:p w14:paraId="0522D855" w14:textId="77777777" w:rsidR="00E20EAB" w:rsidRPr="00C86D0C" w:rsidRDefault="00E20EAB" w:rsidP="00E20EAB">
      <w:pPr>
        <w:tabs>
          <w:tab w:val="left" w:pos="648"/>
          <w:tab w:val="left" w:pos="936"/>
          <w:tab w:val="left" w:pos="1281"/>
          <w:tab w:val="left" w:pos="3384"/>
        </w:tabs>
        <w:spacing w:after="0" w:line="240" w:lineRule="auto"/>
        <w:ind w:left="648"/>
        <w:jc w:val="both"/>
        <w:rPr>
          <w:rFonts w:eastAsia="Times New Roman"/>
          <w:snapToGrid w:val="0"/>
          <w:lang w:bidi="en-US"/>
        </w:rPr>
      </w:pPr>
    </w:p>
    <w:p w14:paraId="24D1E369" w14:textId="77777777" w:rsidR="00E20EAB" w:rsidRPr="00C86D0C" w:rsidRDefault="00E20EAB" w:rsidP="00E20EAB">
      <w:pPr>
        <w:tabs>
          <w:tab w:val="left" w:pos="648"/>
          <w:tab w:val="left" w:pos="936"/>
          <w:tab w:val="left" w:pos="1281"/>
          <w:tab w:val="left" w:pos="3384"/>
        </w:tabs>
        <w:spacing w:after="0" w:line="240" w:lineRule="auto"/>
        <w:ind w:left="1926" w:hanging="630"/>
        <w:jc w:val="both"/>
        <w:rPr>
          <w:rFonts w:eastAsia="Times New Roman"/>
          <w:snapToGrid w:val="0"/>
          <w:lang w:bidi="en-US"/>
        </w:rPr>
      </w:pPr>
      <w:r w:rsidRPr="00C86D0C">
        <w:rPr>
          <w:rFonts w:eastAsia="Times New Roman"/>
          <w:snapToGrid w:val="0"/>
          <w:lang w:bidi="en-US"/>
        </w:rPr>
        <w:t>a.</w:t>
      </w:r>
      <w:r w:rsidRPr="00C86D0C">
        <w:rPr>
          <w:rFonts w:eastAsia="Times New Roman"/>
          <w:snapToGrid w:val="0"/>
          <w:lang w:bidi="en-US"/>
        </w:rPr>
        <w:tab/>
        <w:t>When a college receives notification from the bankruptcy court that a student debtor has filed for bankruptcy, the college should immediately cease all collection efforts.</w:t>
      </w:r>
    </w:p>
    <w:p w14:paraId="230E0545" w14:textId="77777777" w:rsidR="00E20EAB" w:rsidRPr="00C86D0C" w:rsidRDefault="00E20EAB" w:rsidP="00E20EAB">
      <w:pPr>
        <w:tabs>
          <w:tab w:val="left" w:pos="648"/>
          <w:tab w:val="left" w:pos="936"/>
          <w:tab w:val="left" w:pos="1281"/>
          <w:tab w:val="left" w:pos="3384"/>
        </w:tabs>
        <w:spacing w:after="0" w:line="240" w:lineRule="auto"/>
        <w:ind w:left="1926" w:hanging="630"/>
        <w:jc w:val="both"/>
        <w:rPr>
          <w:rFonts w:eastAsia="Times New Roman"/>
          <w:snapToGrid w:val="0"/>
          <w:lang w:bidi="en-US"/>
        </w:rPr>
      </w:pPr>
    </w:p>
    <w:p w14:paraId="6BECDE89" w14:textId="77777777" w:rsidR="00E20EAB" w:rsidRPr="00C86D0C" w:rsidRDefault="00E20EAB" w:rsidP="00E20EAB">
      <w:pPr>
        <w:tabs>
          <w:tab w:val="left" w:pos="648"/>
          <w:tab w:val="left" w:pos="936"/>
          <w:tab w:val="left" w:pos="1281"/>
          <w:tab w:val="left" w:pos="3384"/>
        </w:tabs>
        <w:spacing w:after="0" w:line="240" w:lineRule="auto"/>
        <w:ind w:left="1926" w:hanging="630"/>
        <w:jc w:val="both"/>
        <w:rPr>
          <w:rFonts w:eastAsia="Times New Roman"/>
          <w:snapToGrid w:val="0"/>
          <w:lang w:bidi="en-US"/>
        </w:rPr>
      </w:pPr>
      <w:r w:rsidRPr="00C86D0C">
        <w:rPr>
          <w:rFonts w:eastAsia="Times New Roman"/>
          <w:snapToGrid w:val="0"/>
          <w:lang w:bidi="en-US"/>
        </w:rPr>
        <w:t>b.</w:t>
      </w:r>
      <w:r w:rsidRPr="00C86D0C">
        <w:rPr>
          <w:rFonts w:eastAsia="Times New Roman"/>
          <w:snapToGrid w:val="0"/>
          <w:lang w:bidi="en-US"/>
        </w:rPr>
        <w:tab/>
        <w:t>If the bankruptcy notice states that claims may be filed, the college should promptly refer the matter to the MCCS general counsel for assistance.</w:t>
      </w:r>
    </w:p>
    <w:p w14:paraId="79222FFE" w14:textId="77777777" w:rsidR="00E20EAB" w:rsidRPr="00C86D0C" w:rsidRDefault="00E20EAB" w:rsidP="00E20EAB">
      <w:pPr>
        <w:tabs>
          <w:tab w:val="left" w:pos="648"/>
          <w:tab w:val="left" w:pos="936"/>
          <w:tab w:val="left" w:pos="1281"/>
          <w:tab w:val="left" w:pos="3384"/>
        </w:tabs>
        <w:spacing w:after="0" w:line="240" w:lineRule="auto"/>
        <w:ind w:left="1926" w:hanging="630"/>
        <w:jc w:val="both"/>
        <w:rPr>
          <w:rFonts w:eastAsia="Times New Roman"/>
          <w:snapToGrid w:val="0"/>
          <w:lang w:bidi="en-US"/>
        </w:rPr>
      </w:pPr>
    </w:p>
    <w:p w14:paraId="2F9817CA" w14:textId="77777777" w:rsidR="00E20EAB" w:rsidRPr="00C86D0C" w:rsidRDefault="00E20EAB" w:rsidP="00E20EAB">
      <w:pPr>
        <w:tabs>
          <w:tab w:val="left" w:pos="648"/>
          <w:tab w:val="left" w:pos="936"/>
          <w:tab w:val="left" w:pos="1281"/>
          <w:tab w:val="left" w:pos="3384"/>
        </w:tabs>
        <w:spacing w:after="0" w:line="240" w:lineRule="auto"/>
        <w:ind w:left="1926" w:hanging="630"/>
        <w:jc w:val="both"/>
        <w:rPr>
          <w:rFonts w:eastAsia="Times New Roman"/>
          <w:snapToGrid w:val="0"/>
          <w:lang w:bidi="en-US"/>
        </w:rPr>
      </w:pPr>
      <w:r w:rsidRPr="00C86D0C">
        <w:rPr>
          <w:rFonts w:eastAsia="Times New Roman"/>
          <w:snapToGrid w:val="0"/>
          <w:lang w:bidi="en-US"/>
        </w:rPr>
        <w:t>c.</w:t>
      </w:r>
      <w:r w:rsidRPr="00C86D0C">
        <w:rPr>
          <w:rFonts w:eastAsia="Times New Roman"/>
          <w:snapToGrid w:val="0"/>
          <w:lang w:bidi="en-US"/>
        </w:rPr>
        <w:tab/>
        <w:t>Student loans or other debts representing an obligation to repay amounts received or credited for educational purposes are not dischargeable in bankruptcy unless the court finds that exception from discharge will impose an undue hardship on the student debtor.</w:t>
      </w:r>
    </w:p>
    <w:p w14:paraId="78D5653D" w14:textId="77777777" w:rsidR="00E20EAB" w:rsidRPr="00C86D0C" w:rsidRDefault="00E20EAB" w:rsidP="00E20EAB">
      <w:pPr>
        <w:tabs>
          <w:tab w:val="left" w:pos="648"/>
          <w:tab w:val="left" w:pos="936"/>
          <w:tab w:val="left" w:pos="1281"/>
          <w:tab w:val="left" w:pos="3384"/>
        </w:tabs>
        <w:spacing w:after="0" w:line="240" w:lineRule="auto"/>
        <w:ind w:left="1926" w:hanging="630"/>
        <w:jc w:val="both"/>
        <w:rPr>
          <w:rFonts w:eastAsia="Times New Roman"/>
          <w:snapToGrid w:val="0"/>
          <w:lang w:bidi="en-US"/>
        </w:rPr>
      </w:pPr>
    </w:p>
    <w:p w14:paraId="2D99D297" w14:textId="77777777" w:rsidR="00E20EAB" w:rsidRPr="00C86D0C" w:rsidRDefault="00E20EAB" w:rsidP="00E20EAB">
      <w:pPr>
        <w:tabs>
          <w:tab w:val="left" w:pos="648"/>
          <w:tab w:val="left" w:pos="936"/>
          <w:tab w:val="left" w:pos="1281"/>
          <w:tab w:val="left" w:pos="3384"/>
        </w:tabs>
        <w:spacing w:after="0" w:line="240" w:lineRule="auto"/>
        <w:ind w:left="1926" w:hanging="630"/>
        <w:jc w:val="both"/>
        <w:rPr>
          <w:rFonts w:eastAsia="Times New Roman"/>
          <w:snapToGrid w:val="0"/>
          <w:lang w:bidi="en-US"/>
        </w:rPr>
      </w:pPr>
      <w:r w:rsidRPr="00C86D0C">
        <w:rPr>
          <w:rFonts w:eastAsia="Times New Roman"/>
          <w:snapToGrid w:val="0"/>
          <w:lang w:bidi="en-US"/>
        </w:rPr>
        <w:t>d.</w:t>
      </w:r>
      <w:r w:rsidRPr="00C86D0C">
        <w:rPr>
          <w:rFonts w:eastAsia="Times New Roman"/>
          <w:snapToGrid w:val="0"/>
          <w:lang w:bidi="en-US"/>
        </w:rPr>
        <w:tab/>
        <w:t>Parking and library fines are not dischargeable by a bankruptcy court.</w:t>
      </w:r>
    </w:p>
    <w:p w14:paraId="0130C765" w14:textId="77777777" w:rsidR="00E20EAB" w:rsidRPr="00C86D0C" w:rsidRDefault="00E20EAB" w:rsidP="00E20EAB">
      <w:pPr>
        <w:tabs>
          <w:tab w:val="left" w:pos="648"/>
          <w:tab w:val="left" w:pos="936"/>
          <w:tab w:val="left" w:pos="1281"/>
          <w:tab w:val="left" w:pos="3384"/>
        </w:tabs>
        <w:spacing w:after="0" w:line="240" w:lineRule="auto"/>
        <w:ind w:left="1926" w:hanging="630"/>
        <w:jc w:val="both"/>
        <w:rPr>
          <w:rFonts w:eastAsia="Times New Roman"/>
          <w:snapToGrid w:val="0"/>
          <w:lang w:bidi="en-US"/>
        </w:rPr>
      </w:pPr>
    </w:p>
    <w:p w14:paraId="475E2DAE" w14:textId="77777777" w:rsidR="00E20EAB" w:rsidRPr="00C86D0C" w:rsidRDefault="00E20EAB" w:rsidP="00E20EAB">
      <w:pPr>
        <w:tabs>
          <w:tab w:val="left" w:pos="648"/>
          <w:tab w:val="left" w:pos="936"/>
          <w:tab w:val="left" w:pos="1281"/>
          <w:tab w:val="left" w:pos="3384"/>
        </w:tabs>
        <w:spacing w:after="0" w:line="240" w:lineRule="auto"/>
        <w:ind w:left="1926" w:hanging="630"/>
        <w:jc w:val="both"/>
        <w:rPr>
          <w:rFonts w:eastAsia="Times New Roman"/>
          <w:snapToGrid w:val="0"/>
          <w:lang w:bidi="en-US"/>
        </w:rPr>
      </w:pPr>
      <w:r w:rsidRPr="00C86D0C">
        <w:rPr>
          <w:rFonts w:eastAsia="Times New Roman"/>
          <w:snapToGrid w:val="0"/>
          <w:lang w:bidi="en-US"/>
        </w:rPr>
        <w:lastRenderedPageBreak/>
        <w:t>e.</w:t>
      </w:r>
      <w:r w:rsidRPr="00C86D0C">
        <w:rPr>
          <w:rFonts w:eastAsia="Times New Roman"/>
          <w:snapToGrid w:val="0"/>
          <w:lang w:bidi="en-US"/>
        </w:rPr>
        <w:tab/>
        <w:t>If a discharge notice is received from the bankruptcy court, the student debtor is no longer liable and the debt should be cleared from the student debtor's record. However, for non-dischargeable debts as described in subsection c above, collection efforts may resume after the student debtor's discharge in bankruptcy.</w:t>
      </w:r>
    </w:p>
    <w:p w14:paraId="030B4AB3" w14:textId="77777777" w:rsidR="00E20EAB" w:rsidRPr="00C86D0C" w:rsidRDefault="00E20EAB" w:rsidP="00E20EAB">
      <w:pPr>
        <w:tabs>
          <w:tab w:val="left" w:pos="648"/>
          <w:tab w:val="left" w:pos="936"/>
          <w:tab w:val="left" w:pos="1281"/>
          <w:tab w:val="left" w:pos="3384"/>
        </w:tabs>
        <w:spacing w:after="0" w:line="240" w:lineRule="auto"/>
        <w:ind w:left="1926" w:hanging="630"/>
        <w:jc w:val="both"/>
        <w:rPr>
          <w:rFonts w:eastAsia="Times New Roman"/>
          <w:snapToGrid w:val="0"/>
          <w:lang w:bidi="en-US"/>
        </w:rPr>
      </w:pPr>
    </w:p>
    <w:p w14:paraId="633D75D7" w14:textId="77777777" w:rsidR="00E20EAB" w:rsidRPr="00C86D0C" w:rsidRDefault="00E20EAB" w:rsidP="00E20EAB">
      <w:pPr>
        <w:tabs>
          <w:tab w:val="left" w:pos="648"/>
          <w:tab w:val="left" w:pos="936"/>
          <w:tab w:val="left" w:pos="1281"/>
          <w:tab w:val="left" w:pos="3384"/>
        </w:tabs>
        <w:spacing w:after="0" w:line="240" w:lineRule="auto"/>
        <w:ind w:left="1926" w:hanging="630"/>
        <w:jc w:val="both"/>
        <w:rPr>
          <w:rFonts w:eastAsia="Times New Roman"/>
          <w:snapToGrid w:val="0"/>
          <w:u w:val="single"/>
          <w:lang w:bidi="en-US"/>
        </w:rPr>
      </w:pPr>
      <w:r w:rsidRPr="00C86D0C">
        <w:rPr>
          <w:rFonts w:eastAsia="Times New Roman"/>
          <w:snapToGrid w:val="0"/>
          <w:lang w:bidi="en-US"/>
        </w:rPr>
        <w:t>f.</w:t>
      </w:r>
      <w:r w:rsidRPr="00C86D0C">
        <w:rPr>
          <w:rFonts w:eastAsia="Times New Roman"/>
          <w:snapToGrid w:val="0"/>
          <w:lang w:bidi="en-US"/>
        </w:rPr>
        <w:tab/>
        <w:t xml:space="preserve">Collection efforts may resume if the case is dismissed. </w:t>
      </w:r>
    </w:p>
    <w:p w14:paraId="23127FAF" w14:textId="77777777" w:rsidR="00E20EAB" w:rsidRPr="00C86D0C" w:rsidRDefault="00E20EAB" w:rsidP="00E20EAB">
      <w:pPr>
        <w:tabs>
          <w:tab w:val="left" w:pos="576"/>
          <w:tab w:val="left" w:pos="1152"/>
          <w:tab w:val="left" w:pos="1728"/>
          <w:tab w:val="left" w:pos="2304"/>
          <w:tab w:val="left" w:pos="2880"/>
          <w:tab w:val="left" w:pos="3456"/>
          <w:tab w:val="left" w:pos="4032"/>
        </w:tabs>
        <w:spacing w:after="0" w:line="240" w:lineRule="auto"/>
        <w:jc w:val="both"/>
        <w:rPr>
          <w:rFonts w:eastAsia="Batang"/>
          <w:b/>
          <w:snapToGrid w:val="0"/>
          <w:lang w:bidi="en-US"/>
        </w:rPr>
      </w:pPr>
    </w:p>
    <w:p w14:paraId="17B911C7" w14:textId="77777777" w:rsidR="00E20EAB" w:rsidRPr="00C86D0C" w:rsidRDefault="00E20EAB" w:rsidP="00E20EAB">
      <w:pPr>
        <w:tabs>
          <w:tab w:val="left" w:pos="576"/>
          <w:tab w:val="left" w:pos="1152"/>
          <w:tab w:val="left" w:pos="1728"/>
          <w:tab w:val="left" w:pos="2304"/>
          <w:tab w:val="left" w:pos="2880"/>
          <w:tab w:val="left" w:pos="3456"/>
          <w:tab w:val="left" w:pos="4032"/>
        </w:tabs>
        <w:spacing w:after="0" w:line="240" w:lineRule="auto"/>
        <w:jc w:val="both"/>
        <w:rPr>
          <w:rFonts w:eastAsia="Batang"/>
          <w:b/>
          <w:snapToGrid w:val="0"/>
          <w:lang w:bidi="en-US"/>
        </w:rPr>
      </w:pPr>
    </w:p>
    <w:p w14:paraId="31EBB16C" w14:textId="7644472E" w:rsidR="00E20EAB" w:rsidRPr="00C86D0C" w:rsidRDefault="00CE7D3C" w:rsidP="00E20EAB">
      <w:pPr>
        <w:tabs>
          <w:tab w:val="left" w:pos="576"/>
          <w:tab w:val="left" w:pos="1152"/>
          <w:tab w:val="left" w:pos="1728"/>
          <w:tab w:val="left" w:pos="2304"/>
          <w:tab w:val="left" w:pos="2880"/>
          <w:tab w:val="left" w:pos="3456"/>
          <w:tab w:val="left" w:pos="4032"/>
        </w:tabs>
        <w:spacing w:after="0" w:line="240" w:lineRule="auto"/>
        <w:jc w:val="both"/>
        <w:rPr>
          <w:rFonts w:eastAsia="Batang"/>
          <w:b/>
          <w:snapToGrid w:val="0"/>
          <w:lang w:bidi="en-US"/>
        </w:rPr>
      </w:pPr>
      <w:r>
        <w:rPr>
          <w:rFonts w:eastAsia="Batang"/>
          <w:b/>
          <w:snapToGrid w:val="0"/>
          <w:lang w:bidi="en-US"/>
        </w:rPr>
        <w:t>D</w:t>
      </w:r>
      <w:r w:rsidR="00E20EAB" w:rsidRPr="00C86D0C">
        <w:rPr>
          <w:rFonts w:eastAsia="Batang"/>
          <w:b/>
          <w:snapToGrid w:val="0"/>
          <w:lang w:bidi="en-US"/>
        </w:rPr>
        <w:t>.</w:t>
      </w:r>
      <w:r w:rsidR="00E20EAB" w:rsidRPr="00C86D0C">
        <w:rPr>
          <w:rFonts w:eastAsia="Batang"/>
          <w:b/>
          <w:snapToGrid w:val="0"/>
          <w:lang w:bidi="en-US"/>
        </w:rPr>
        <w:tab/>
        <w:t>Student Activity Funds</w:t>
      </w:r>
    </w:p>
    <w:p w14:paraId="3A024391" w14:textId="77777777" w:rsidR="00E20EAB" w:rsidRPr="00C86D0C" w:rsidRDefault="00E20EAB" w:rsidP="00E20EAB">
      <w:pP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03E6E886" w14:textId="77777777" w:rsidR="00E20EAB" w:rsidRPr="00C86D0C" w:rsidRDefault="00E20EAB" w:rsidP="00E20EAB">
      <w:pP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r w:rsidRPr="00C86D0C">
        <w:rPr>
          <w:rFonts w:eastAsia="Batang"/>
          <w:snapToGrid w:val="0"/>
          <w:lang w:bidi="en-US"/>
        </w:rPr>
        <w:t>College student activity funds enhance the students’ educational experience by funding extracurricular activities and supporting instructional programs. Each college shall be responsible for the integrity and accounting of such student funds.  Such responsibility shall include ensuring that the funds are expended properly and in accordance with the purposes for which they were raised.</w:t>
      </w:r>
    </w:p>
    <w:p w14:paraId="4C72FDCC" w14:textId="77777777" w:rsidR="00E20EAB" w:rsidRPr="00C86D0C"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727F5FE3" w14:textId="77777777" w:rsidR="00E20EAB" w:rsidRPr="00C86D0C"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1B8E6D12" w14:textId="77777777" w:rsidR="00E20EAB" w:rsidRPr="00C86D0C"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41FB0AB4" w14:textId="77777777" w:rsidR="00E20EAB" w:rsidRPr="00C86D0C"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56D679F3" w14:textId="77777777" w:rsidR="00E20EAB" w:rsidRPr="00C86D0C"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7D1141F4" w14:textId="77777777" w:rsidR="00E20EAB" w:rsidRPr="00C86D0C"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1A1C3650" w14:textId="77777777" w:rsidR="00E20EAB"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475C5A87" w14:textId="77777777" w:rsidR="00E20EAB"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3D09C11D" w14:textId="77777777" w:rsidR="00E20EAB"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3A4247BB" w14:textId="77777777" w:rsidR="00E20EAB"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1BC6B4BE" w14:textId="77777777" w:rsidR="00E20EAB"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31108E67" w14:textId="77777777" w:rsidR="00E20EAB"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6333D3CB" w14:textId="77777777" w:rsidR="00E20EAB"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5650EC6F" w14:textId="77777777" w:rsidR="00E20EAB"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798B486B" w14:textId="77777777" w:rsidR="00E20EAB"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6F6638DD" w14:textId="77777777" w:rsidR="00E20EAB"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4280C1A1" w14:textId="2BA46E3F" w:rsidR="00E20EAB"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60910E7C" w14:textId="77777777" w:rsidR="00E20EAB"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37E59273" w14:textId="77777777" w:rsidR="00E20EAB"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7D3012BA" w14:textId="77777777" w:rsidR="00E20EAB" w:rsidRPr="00C86D0C"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384B5851" w14:textId="77777777" w:rsidR="00E20EAB" w:rsidRPr="00C86D0C" w:rsidRDefault="00E20EAB" w:rsidP="00E20EAB">
      <w:pPr>
        <w:pBdr>
          <w:bottom w:val="single" w:sz="12" w:space="1" w:color="auto"/>
        </w:pBd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3D87E0E3" w14:textId="77777777" w:rsidR="00E20EAB" w:rsidRPr="00C86D0C" w:rsidRDefault="00E20EAB" w:rsidP="00E20EAB">
      <w:pP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20CB268E" w14:textId="77777777" w:rsidR="00E20EAB" w:rsidRPr="00C86D0C" w:rsidRDefault="00E20EAB" w:rsidP="00E20EAB">
      <w:pP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r w:rsidRPr="00C86D0C">
        <w:rPr>
          <w:rFonts w:eastAsia="Batang"/>
          <w:snapToGrid w:val="0"/>
          <w:lang w:bidi="en-US"/>
        </w:rPr>
        <w:t xml:space="preserve">REFERENCES:  20-A M.R.S.A. </w:t>
      </w:r>
      <w:r w:rsidRPr="00C86D0C">
        <w:rPr>
          <w:rFonts w:eastAsia="Batang"/>
          <w:lang w:bidi="en-US"/>
        </w:rPr>
        <w:t>§</w:t>
      </w:r>
      <w:r w:rsidRPr="00C86D0C">
        <w:rPr>
          <w:rFonts w:eastAsia="Batang"/>
          <w:snapToGrid w:val="0"/>
          <w:lang w:bidi="en-US"/>
        </w:rPr>
        <w:t xml:space="preserve">12706(1), (7), (9), (15) and (18); </w:t>
      </w:r>
      <w:r w:rsidRPr="00C86D0C">
        <w:rPr>
          <w:rFonts w:eastAsia="Batang"/>
          <w:lang w:bidi="en-US"/>
        </w:rPr>
        <w:t>§</w:t>
      </w:r>
      <w:r w:rsidRPr="00C86D0C">
        <w:rPr>
          <w:rFonts w:eastAsia="Batang"/>
          <w:snapToGrid w:val="0"/>
          <w:lang w:bidi="en-US"/>
        </w:rPr>
        <w:t>12712(1) and (9); and §12716(3)</w:t>
      </w:r>
      <w:r w:rsidR="009D7F16">
        <w:rPr>
          <w:rFonts w:eastAsia="Batang"/>
          <w:snapToGrid w:val="0"/>
          <w:lang w:bidi="en-US"/>
        </w:rPr>
        <w:t xml:space="preserve">  </w:t>
      </w:r>
    </w:p>
    <w:p w14:paraId="2C92D101" w14:textId="77777777" w:rsidR="00E20EAB" w:rsidRPr="00C86D0C" w:rsidRDefault="00E20EAB" w:rsidP="00E20EAB">
      <w:pPr>
        <w:tabs>
          <w:tab w:val="left" w:pos="576"/>
          <w:tab w:val="left" w:pos="1152"/>
          <w:tab w:val="left" w:pos="1728"/>
          <w:tab w:val="left" w:pos="2304"/>
          <w:tab w:val="left" w:pos="2880"/>
          <w:tab w:val="left" w:pos="3456"/>
          <w:tab w:val="left" w:pos="4032"/>
        </w:tabs>
        <w:spacing w:after="0" w:line="240" w:lineRule="auto"/>
        <w:jc w:val="both"/>
        <w:rPr>
          <w:rFonts w:eastAsia="Batang"/>
          <w:snapToGrid w:val="0"/>
          <w:lang w:bidi="en-US"/>
        </w:rPr>
      </w:pPr>
    </w:p>
    <w:p w14:paraId="1768EEC7" w14:textId="77777777" w:rsidR="00E20EAB" w:rsidRPr="00C86D0C" w:rsidRDefault="00E20EAB" w:rsidP="00E20EAB">
      <w:pPr>
        <w:tabs>
          <w:tab w:val="left" w:pos="576"/>
          <w:tab w:val="left" w:pos="1152"/>
          <w:tab w:val="left" w:pos="1728"/>
          <w:tab w:val="left" w:pos="2304"/>
          <w:tab w:val="left" w:pos="2880"/>
          <w:tab w:val="left" w:pos="3456"/>
          <w:tab w:val="left" w:pos="4032"/>
        </w:tabs>
        <w:spacing w:after="0" w:line="240" w:lineRule="auto"/>
        <w:jc w:val="both"/>
        <w:rPr>
          <w:rFonts w:eastAsia="Batang"/>
          <w:lang w:bidi="en-US"/>
        </w:rPr>
      </w:pPr>
      <w:r w:rsidRPr="00C86D0C">
        <w:rPr>
          <w:rFonts w:eastAsia="Batang"/>
          <w:snapToGrid w:val="0"/>
          <w:lang w:bidi="en-US"/>
        </w:rPr>
        <w:t>DATE ADOPTED:  June 24, 2009</w:t>
      </w:r>
    </w:p>
    <w:p w14:paraId="2F9D12D9" w14:textId="77777777" w:rsidR="00E20EAB" w:rsidRPr="00C86D0C" w:rsidRDefault="00E20EAB" w:rsidP="00E20EAB">
      <w:pPr>
        <w:tabs>
          <w:tab w:val="left" w:pos="576"/>
          <w:tab w:val="left" w:pos="1152"/>
          <w:tab w:val="left" w:pos="1728"/>
          <w:tab w:val="left" w:pos="2304"/>
          <w:tab w:val="left" w:pos="2880"/>
          <w:tab w:val="left" w:pos="3456"/>
          <w:tab w:val="left" w:pos="4032"/>
        </w:tabs>
        <w:spacing w:after="0" w:line="240" w:lineRule="auto"/>
        <w:jc w:val="both"/>
        <w:rPr>
          <w:rFonts w:eastAsia="Batang"/>
          <w:lang w:bidi="en-US"/>
        </w:rPr>
      </w:pPr>
    </w:p>
    <w:p w14:paraId="7BA911DF" w14:textId="75675276" w:rsidR="005D6146" w:rsidRDefault="00E20EAB">
      <w:r w:rsidRPr="00C86D0C">
        <w:rPr>
          <w:rFonts w:eastAsia="Batang"/>
          <w:snapToGrid w:val="0"/>
          <w:lang w:bidi="en-US"/>
        </w:rPr>
        <w:t xml:space="preserve">DATE(S) AMENDED:   </w:t>
      </w:r>
      <w:r>
        <w:rPr>
          <w:rFonts w:eastAsia="Batang"/>
          <w:snapToGrid w:val="0"/>
          <w:lang w:bidi="en-US"/>
        </w:rPr>
        <w:t xml:space="preserve">June 23, 2010, </w:t>
      </w:r>
      <w:r w:rsidR="00162119">
        <w:rPr>
          <w:rFonts w:eastAsia="Batang"/>
          <w:snapToGrid w:val="0"/>
          <w:lang w:bidi="en-US"/>
        </w:rPr>
        <w:t>March 30, 2022</w:t>
      </w:r>
      <w:r w:rsidR="00947F0E">
        <w:rPr>
          <w:rFonts w:eastAsia="Batang"/>
          <w:snapToGrid w:val="0"/>
          <w:lang w:bidi="en-US"/>
        </w:rPr>
        <w:t>; March 27, 2024</w:t>
      </w:r>
    </w:p>
    <w:sectPr w:rsidR="005D6146" w:rsidSect="009D7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44D7"/>
    <w:multiLevelType w:val="hybridMultilevel"/>
    <w:tmpl w:val="43266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A5074"/>
    <w:multiLevelType w:val="hybridMultilevel"/>
    <w:tmpl w:val="9CC0D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0591A"/>
    <w:multiLevelType w:val="hybridMultilevel"/>
    <w:tmpl w:val="FE0A5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18799">
    <w:abstractNumId w:val="2"/>
  </w:num>
  <w:num w:numId="2" w16cid:durableId="1243178905">
    <w:abstractNumId w:val="1"/>
  </w:num>
  <w:num w:numId="3" w16cid:durableId="1945842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AB"/>
    <w:rsid w:val="00162119"/>
    <w:rsid w:val="003549E9"/>
    <w:rsid w:val="003C674D"/>
    <w:rsid w:val="004413DF"/>
    <w:rsid w:val="0044230C"/>
    <w:rsid w:val="00536217"/>
    <w:rsid w:val="00565FBF"/>
    <w:rsid w:val="005822E5"/>
    <w:rsid w:val="005D6146"/>
    <w:rsid w:val="0062105F"/>
    <w:rsid w:val="00736E80"/>
    <w:rsid w:val="007906CB"/>
    <w:rsid w:val="0092276D"/>
    <w:rsid w:val="00947F0E"/>
    <w:rsid w:val="009D7F16"/>
    <w:rsid w:val="009E4F3C"/>
    <w:rsid w:val="00CA7CFB"/>
    <w:rsid w:val="00CE7D3C"/>
    <w:rsid w:val="00D83BB1"/>
    <w:rsid w:val="00E20EAB"/>
    <w:rsid w:val="00EA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D844"/>
  <w15:chartTrackingRefBased/>
  <w15:docId w15:val="{A930AB1B-9D94-4EA0-8D7D-B09BD9E9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EAB"/>
    <w:pPr>
      <w:spacing w:after="200" w:line="27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8C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36E80"/>
    <w:rPr>
      <w:sz w:val="16"/>
      <w:szCs w:val="16"/>
    </w:rPr>
  </w:style>
  <w:style w:type="paragraph" w:styleId="CommentText">
    <w:name w:val="annotation text"/>
    <w:basedOn w:val="Normal"/>
    <w:link w:val="CommentTextChar"/>
    <w:uiPriority w:val="99"/>
    <w:semiHidden/>
    <w:unhideWhenUsed/>
    <w:rsid w:val="00736E80"/>
    <w:pPr>
      <w:spacing w:line="240" w:lineRule="auto"/>
    </w:pPr>
    <w:rPr>
      <w:sz w:val="20"/>
      <w:szCs w:val="20"/>
    </w:rPr>
  </w:style>
  <w:style w:type="character" w:customStyle="1" w:styleId="CommentTextChar">
    <w:name w:val="Comment Text Char"/>
    <w:basedOn w:val="DefaultParagraphFont"/>
    <w:link w:val="CommentText"/>
    <w:uiPriority w:val="99"/>
    <w:semiHidden/>
    <w:rsid w:val="00736E80"/>
    <w:rPr>
      <w:rFonts w:eastAsia="Calibri"/>
      <w:sz w:val="20"/>
      <w:szCs w:val="20"/>
    </w:rPr>
  </w:style>
  <w:style w:type="paragraph" w:styleId="CommentSubject">
    <w:name w:val="annotation subject"/>
    <w:basedOn w:val="CommentText"/>
    <w:next w:val="CommentText"/>
    <w:link w:val="CommentSubjectChar"/>
    <w:uiPriority w:val="99"/>
    <w:semiHidden/>
    <w:unhideWhenUsed/>
    <w:rsid w:val="00736E80"/>
    <w:rPr>
      <w:b/>
      <w:bCs/>
    </w:rPr>
  </w:style>
  <w:style w:type="character" w:customStyle="1" w:styleId="CommentSubjectChar">
    <w:name w:val="Comment Subject Char"/>
    <w:basedOn w:val="CommentTextChar"/>
    <w:link w:val="CommentSubject"/>
    <w:uiPriority w:val="99"/>
    <w:semiHidden/>
    <w:rsid w:val="00736E80"/>
    <w:rPr>
      <w:rFonts w:eastAsia="Calibri"/>
      <w:b/>
      <w:bCs/>
      <w:sz w:val="20"/>
      <w:szCs w:val="20"/>
    </w:rPr>
  </w:style>
  <w:style w:type="paragraph" w:styleId="Revision">
    <w:name w:val="Revision"/>
    <w:hidden/>
    <w:uiPriority w:val="99"/>
    <w:semiHidden/>
    <w:rsid w:val="00CE7D3C"/>
    <w:pPr>
      <w:spacing w:after="0" w:line="240" w:lineRule="auto"/>
    </w:pPr>
    <w:rPr>
      <w:rFonts w:eastAsia="Calibri"/>
    </w:rPr>
  </w:style>
  <w:style w:type="paragraph" w:styleId="ListParagraph">
    <w:name w:val="List Paragraph"/>
    <w:basedOn w:val="Normal"/>
    <w:uiPriority w:val="34"/>
    <w:qFormat/>
    <w:rsid w:val="00CE7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85216">
      <w:bodyDiv w:val="1"/>
      <w:marLeft w:val="0"/>
      <w:marRight w:val="0"/>
      <w:marTop w:val="0"/>
      <w:marBottom w:val="0"/>
      <w:divBdr>
        <w:top w:val="none" w:sz="0" w:space="0" w:color="auto"/>
        <w:left w:val="none" w:sz="0" w:space="0" w:color="auto"/>
        <w:bottom w:val="none" w:sz="0" w:space="0" w:color="auto"/>
        <w:right w:val="none" w:sz="0" w:space="0" w:color="auto"/>
      </w:divBdr>
    </w:div>
    <w:div w:id="857079993">
      <w:bodyDiv w:val="1"/>
      <w:marLeft w:val="0"/>
      <w:marRight w:val="0"/>
      <w:marTop w:val="0"/>
      <w:marBottom w:val="0"/>
      <w:divBdr>
        <w:top w:val="none" w:sz="0" w:space="0" w:color="auto"/>
        <w:left w:val="none" w:sz="0" w:space="0" w:color="auto"/>
        <w:bottom w:val="none" w:sz="0" w:space="0" w:color="auto"/>
        <w:right w:val="none" w:sz="0" w:space="0" w:color="auto"/>
      </w:divBdr>
    </w:div>
    <w:div w:id="10959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Homans</dc:creator>
  <cp:keywords/>
  <dc:description/>
  <cp:lastModifiedBy>William Fletcher</cp:lastModifiedBy>
  <cp:revision>2</cp:revision>
  <dcterms:created xsi:type="dcterms:W3CDTF">2024-04-03T18:24:00Z</dcterms:created>
  <dcterms:modified xsi:type="dcterms:W3CDTF">2024-04-03T18:24:00Z</dcterms:modified>
</cp:coreProperties>
</file>